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498AE1" w14:textId="247E4613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7730BD">
        <w:t>2</w:t>
      </w:r>
      <w:r w:rsidRPr="00CE0424">
        <w:t xml:space="preserve"> #</w:t>
      </w:r>
      <w:r w:rsidR="00AE3743">
        <w:t>9</w:t>
      </w:r>
      <w:r w:rsidR="0035491B">
        <w:t>9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A3277A" w:rsidRPr="00A3277A">
        <w:rPr>
          <w:sz w:val="32"/>
          <w:szCs w:val="32"/>
        </w:rPr>
        <w:t>R2-1709550</w:t>
      </w:r>
      <w:bookmarkStart w:id="0" w:name="_GoBack"/>
      <w:bookmarkEnd w:id="0"/>
    </w:p>
    <w:p w14:paraId="0561A5DF" w14:textId="77777777" w:rsidR="00E90E49" w:rsidRPr="00CE0424" w:rsidRDefault="0035491B" w:rsidP="00311702">
      <w:pPr>
        <w:pStyle w:val="3GPPHeader"/>
      </w:pPr>
      <w:r>
        <w:t>Berlin</w:t>
      </w:r>
      <w:r w:rsidRPr="00631CA0">
        <w:t xml:space="preserve">, </w:t>
      </w:r>
      <w:r>
        <w:t>Germany</w:t>
      </w:r>
      <w:r w:rsidRPr="00631CA0">
        <w:t>, 2</w:t>
      </w:r>
      <w:r>
        <w:t>1</w:t>
      </w:r>
      <w:r w:rsidRPr="0099024F">
        <w:rPr>
          <w:vertAlign w:val="superscript"/>
        </w:rPr>
        <w:t>st</w:t>
      </w:r>
      <w:r>
        <w:t xml:space="preserve"> </w:t>
      </w:r>
      <w:r w:rsidRPr="00631CA0">
        <w:t>– 2</w:t>
      </w:r>
      <w:r>
        <w:t>5</w:t>
      </w:r>
      <w:r w:rsidRPr="00631CA0">
        <w:rPr>
          <w:vertAlign w:val="superscript"/>
        </w:rPr>
        <w:t>th</w:t>
      </w:r>
      <w:r>
        <w:t xml:space="preserve"> August </w:t>
      </w:r>
      <w:r w:rsidRPr="00631CA0">
        <w:t>2017</w:t>
      </w:r>
    </w:p>
    <w:p w14:paraId="0E24FE1C" w14:textId="521DC2C1" w:rsidR="00E90E49" w:rsidRPr="00CE0424" w:rsidRDefault="00C9136B" w:rsidP="00357380">
      <w:pPr>
        <w:pStyle w:val="3GPPHeader"/>
      </w:pPr>
      <w:r>
        <w:tab/>
      </w:r>
      <w:r>
        <w:tab/>
      </w:r>
    </w:p>
    <w:p w14:paraId="3C351E16" w14:textId="77777777" w:rsidR="00E90E49" w:rsidRPr="007730BD" w:rsidRDefault="00E90E49" w:rsidP="00311702">
      <w:pPr>
        <w:pStyle w:val="3GPPHeader"/>
        <w:rPr>
          <w:sz w:val="22"/>
          <w:szCs w:val="22"/>
          <w:lang w:val="sv-S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 w:rsidR="00EB26D6" w:rsidRPr="00EB26D6">
        <w:rPr>
          <w:sz w:val="22"/>
          <w:szCs w:val="22"/>
          <w:lang w:val="sv-SE"/>
        </w:rPr>
        <w:t>10.4.1.3.3 – NR – Stage-3 CP – Connection Control – Reconfiguration</w:t>
      </w:r>
    </w:p>
    <w:p w14:paraId="5CD00862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3DE8200" w14:textId="7777777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B26D6">
        <w:rPr>
          <w:sz w:val="22"/>
          <w:szCs w:val="22"/>
        </w:rPr>
        <w:t>Open issues of NR RRCConnectionReconfiguration</w:t>
      </w:r>
    </w:p>
    <w:p w14:paraId="7A2E1123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EB26D6">
        <w:rPr>
          <w:sz w:val="22"/>
          <w:szCs w:val="22"/>
        </w:rPr>
        <w:t>Discussion, Decision</w:t>
      </w:r>
    </w:p>
    <w:p w14:paraId="5454756F" w14:textId="77777777" w:rsidR="00C24345" w:rsidRDefault="00E90E49" w:rsidP="00A2052C">
      <w:pPr>
        <w:pStyle w:val="Heading1"/>
      </w:pPr>
      <w:r w:rsidRPr="00CE0424">
        <w:t>Introduction</w:t>
      </w:r>
    </w:p>
    <w:p w14:paraId="4729F7C5" w14:textId="405D2CB7" w:rsidR="00A2052C" w:rsidRPr="00A2052C" w:rsidRDefault="00EB26D6" w:rsidP="00A2052C">
      <w:r>
        <w:t xml:space="preserve">In this document we provide further thoughts and arguments on the open issues identified in the email discussion </w:t>
      </w:r>
      <w:r w:rsidRPr="00EB26D6">
        <w:t>[NR-AH2#12][NR]</w:t>
      </w:r>
      <w:r w:rsidR="00533984">
        <w:t xml:space="preserve"> </w:t>
      </w:r>
      <w:r w:rsidR="00533984" w:rsidRPr="00533984">
        <w:t>NR RRCConnectionReconfiguration</w:t>
      </w:r>
      <w:r>
        <w:t xml:space="preserve">. </w:t>
      </w:r>
    </w:p>
    <w:p w14:paraId="30130F3E" w14:textId="77777777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53FEAFF0" w14:textId="6A61DDE5" w:rsidR="004A1798" w:rsidRDefault="004A1798" w:rsidP="004A1798">
      <w:pPr>
        <w:pStyle w:val="Heading2"/>
      </w:pPr>
      <w:r>
        <w:t>Containers for PDCP-Config and SDAP-Config</w:t>
      </w:r>
    </w:p>
    <w:p w14:paraId="69390CFD" w14:textId="2E24CAC3" w:rsidR="004A1798" w:rsidRDefault="004A1798" w:rsidP="004A1798">
      <w:r>
        <w:t xml:space="preserve">The email discussion did not conclude </w:t>
      </w:r>
      <w:r w:rsidR="00EB26D6">
        <w:t xml:space="preserve">whether … </w:t>
      </w:r>
    </w:p>
    <w:p w14:paraId="3FAEE112" w14:textId="77777777" w:rsidR="004A1798" w:rsidRPr="004A1798" w:rsidRDefault="00EB26D6" w:rsidP="004A1798">
      <w:pPr>
        <w:rPr>
          <w:i/>
        </w:rPr>
      </w:pPr>
      <w:r w:rsidRPr="004A1798">
        <w:rPr>
          <w:i/>
        </w:rPr>
        <w:t xml:space="preserve">a) the PDCP-Config and SDAP-Config for each DRB are in a separate container; or </w:t>
      </w:r>
    </w:p>
    <w:p w14:paraId="78010C38" w14:textId="77777777" w:rsidR="004A1798" w:rsidRPr="004A1798" w:rsidRDefault="00EB26D6" w:rsidP="004A1798">
      <w:pPr>
        <w:rPr>
          <w:i/>
        </w:rPr>
      </w:pPr>
      <w:r w:rsidRPr="004A1798">
        <w:rPr>
          <w:i/>
        </w:rPr>
        <w:t xml:space="preserve">b) the PDCP-Config and SDAP-Config of all MCG DRBs are in one container and the PDCP-Config and SDAP-Config of all SCG DRBs are in another container; or </w:t>
      </w:r>
    </w:p>
    <w:p w14:paraId="554B6A40" w14:textId="175BE658" w:rsidR="00EB26D6" w:rsidRPr="004A1798" w:rsidRDefault="00EB26D6" w:rsidP="004A1798">
      <w:pPr>
        <w:rPr>
          <w:i/>
        </w:rPr>
      </w:pPr>
      <w:r w:rsidRPr="004A1798">
        <w:rPr>
          <w:i/>
        </w:rPr>
        <w:t>c) the PDCP-Config and S</w:t>
      </w:r>
      <w:r w:rsidR="00073F82">
        <w:rPr>
          <w:i/>
        </w:rPr>
        <w:t>DAP</w:t>
      </w:r>
      <w:r w:rsidRPr="004A1798">
        <w:rPr>
          <w:i/>
        </w:rPr>
        <w:t>-Config of all DRBs are in a common container</w:t>
      </w:r>
      <w:r w:rsidR="004A1798" w:rsidRPr="004A1798">
        <w:rPr>
          <w:i/>
        </w:rPr>
        <w:t>.</w:t>
      </w:r>
    </w:p>
    <w:p w14:paraId="5A9C0281" w14:textId="67BA93DB" w:rsidR="004A1798" w:rsidRDefault="004A1798" w:rsidP="004A1798">
      <w:r>
        <w:t xml:space="preserve">We don’t see any justification for the last option. </w:t>
      </w:r>
      <w:r w:rsidR="00EF492D">
        <w:t xml:space="preserve">Option a) </w:t>
      </w:r>
      <w:r w:rsidR="006C42A6">
        <w:t>an</w:t>
      </w:r>
      <w:r w:rsidR="008233F9">
        <w:t>d b) are both feasible</w:t>
      </w:r>
      <w:r w:rsidR="00EF492D">
        <w:t xml:space="preserve">. However, </w:t>
      </w:r>
      <w:r w:rsidR="00206E47">
        <w:t xml:space="preserve">as SA3 replied in </w:t>
      </w:r>
      <w:hyperlink r:id="rId14" w:history="1">
        <w:r w:rsidR="00206E47" w:rsidRPr="005D6A4C">
          <w:rPr>
            <w:rStyle w:val="Hyperlink"/>
          </w:rPr>
          <w:t>S3-172080</w:t>
        </w:r>
      </w:hyperlink>
      <w:r w:rsidR="00206E47">
        <w:t xml:space="preserve">, </w:t>
      </w:r>
      <w:r w:rsidR="009E1100">
        <w:t xml:space="preserve">that </w:t>
      </w:r>
      <w:r w:rsidR="00206E47">
        <w:t xml:space="preserve">the </w:t>
      </w:r>
      <w:r w:rsidR="008233F9">
        <w:t>security parameters and keys will be associated with the terminating nodes, i.e., the DRBs terminating in one node will use common security parameters. I</w:t>
      </w:r>
      <w:r w:rsidR="00EF492D">
        <w:t xml:space="preserve">t may </w:t>
      </w:r>
      <w:r w:rsidR="008233F9">
        <w:t xml:space="preserve">hence </w:t>
      </w:r>
      <w:r w:rsidR="00EF492D">
        <w:t xml:space="preserve">be more intuitive to group </w:t>
      </w:r>
      <w:r w:rsidR="008233F9">
        <w:t>such set of security parameters with all PDCP (and SDAP) configurations using those parameters</w:t>
      </w:r>
      <w:r w:rsidR="00206E47">
        <w:t>, i.e., option b)</w:t>
      </w:r>
      <w:r w:rsidR="00EF492D">
        <w:t xml:space="preserve">. </w:t>
      </w:r>
    </w:p>
    <w:p w14:paraId="602184F7" w14:textId="30E65AE2" w:rsidR="00EF492D" w:rsidRDefault="00EF492D" w:rsidP="009E1100">
      <w:pPr>
        <w:pStyle w:val="Observation"/>
      </w:pPr>
      <w:bookmarkStart w:id="2" w:name="_Toc490243113"/>
      <w:bookmarkStart w:id="3" w:name="_Toc490255957"/>
      <w:bookmarkStart w:id="4" w:name="_Toc490256463"/>
      <w:r>
        <w:t xml:space="preserve">PDCP/SDAP-Config </w:t>
      </w:r>
      <w:r w:rsidR="009E1100">
        <w:t xml:space="preserve">IEs of DRBs terminating in the same node are associated with the same security key (see </w:t>
      </w:r>
      <w:hyperlink r:id="rId15" w:history="1">
        <w:r w:rsidR="009E1100" w:rsidRPr="005D6A4C">
          <w:rPr>
            <w:rStyle w:val="Hyperlink"/>
          </w:rPr>
          <w:t>S3-172080</w:t>
        </w:r>
      </w:hyperlink>
      <w:r w:rsidR="009E1100">
        <w:t>)</w:t>
      </w:r>
      <w:r>
        <w:t>.</w:t>
      </w:r>
      <w:bookmarkEnd w:id="2"/>
      <w:bookmarkEnd w:id="3"/>
      <w:bookmarkEnd w:id="4"/>
    </w:p>
    <w:p w14:paraId="201C6E5E" w14:textId="5DB26132" w:rsidR="001307E2" w:rsidRDefault="001307E2" w:rsidP="001307E2">
      <w:pPr>
        <w:pStyle w:val="Proposal"/>
      </w:pPr>
      <w:bookmarkStart w:id="5" w:name="_Toc490255962"/>
      <w:bookmarkStart w:id="6" w:name="_Toc490256466"/>
      <w:r>
        <w:t>T</w:t>
      </w:r>
      <w:r w:rsidRPr="001307E2">
        <w:t xml:space="preserve">he PDCP-Config and SDAP-Config of all DRBs </w:t>
      </w:r>
      <w:r>
        <w:t xml:space="preserve">terminating in the same node </w:t>
      </w:r>
      <w:r w:rsidRPr="001307E2">
        <w:t xml:space="preserve">are in </w:t>
      </w:r>
      <w:r>
        <w:t xml:space="preserve">a common </w:t>
      </w:r>
      <w:r w:rsidRPr="001307E2">
        <w:t>container</w:t>
      </w:r>
      <w:r>
        <w:t>.</w:t>
      </w:r>
      <w:bookmarkEnd w:id="5"/>
      <w:bookmarkEnd w:id="6"/>
    </w:p>
    <w:p w14:paraId="7AE58D49" w14:textId="4B306362" w:rsidR="0045341E" w:rsidRDefault="0045341E" w:rsidP="0045341E">
      <w:pPr>
        <w:pStyle w:val="Heading2"/>
      </w:pPr>
      <w:r>
        <w:t>Containers for NR-NR DC</w:t>
      </w:r>
    </w:p>
    <w:p w14:paraId="769E6469" w14:textId="4085B275" w:rsidR="0045341E" w:rsidRDefault="0045341E" w:rsidP="00EB26D6">
      <w:r>
        <w:t xml:space="preserve">The email discussion did not conclude </w:t>
      </w:r>
      <w:r w:rsidR="00EB26D6">
        <w:t xml:space="preserve">whether the SCG configuration </w:t>
      </w:r>
      <w:r w:rsidR="00557206">
        <w:t xml:space="preserve">for NR-NR DC </w:t>
      </w:r>
      <w:r w:rsidR="00EB26D6">
        <w:t xml:space="preserve">should … </w:t>
      </w:r>
    </w:p>
    <w:p w14:paraId="17C8C09C" w14:textId="77777777" w:rsidR="0045341E" w:rsidRPr="009C767B" w:rsidRDefault="00EB26D6" w:rsidP="00EB26D6">
      <w:pPr>
        <w:rPr>
          <w:i/>
        </w:rPr>
      </w:pPr>
      <w:r w:rsidRPr="009C767B">
        <w:rPr>
          <w:i/>
        </w:rPr>
        <w:t>a) be conveyed as full RRC message</w:t>
      </w:r>
      <w:r w:rsidR="0045341E" w:rsidRPr="009C767B">
        <w:rPr>
          <w:i/>
        </w:rPr>
        <w:t xml:space="preserve"> and</w:t>
      </w:r>
      <w:r w:rsidRPr="009C767B">
        <w:rPr>
          <w:i/>
        </w:rPr>
        <w:t xml:space="preserve"> </w:t>
      </w:r>
      <w:r w:rsidR="0045341E" w:rsidRPr="009C767B">
        <w:rPr>
          <w:i/>
        </w:rPr>
        <w:t>i</w:t>
      </w:r>
      <w:r w:rsidRPr="009C767B">
        <w:rPr>
          <w:i/>
        </w:rPr>
        <w:t xml:space="preserve">f so, </w:t>
      </w:r>
      <w:r w:rsidR="0045341E" w:rsidRPr="009C767B">
        <w:rPr>
          <w:i/>
        </w:rPr>
        <w:t xml:space="preserve">whether </w:t>
      </w:r>
      <w:r w:rsidRPr="009C767B">
        <w:rPr>
          <w:i/>
        </w:rPr>
        <w:t xml:space="preserve">it should be the NR RRCConnectionReconfiguration (i.e., embedding an NR RRCConnectionReconfiguration message into another NR RRCConnectionReconfiguration message); or </w:t>
      </w:r>
    </w:p>
    <w:p w14:paraId="29770B53" w14:textId="7BD15591" w:rsidR="00EB26D6" w:rsidRPr="009C767B" w:rsidRDefault="00EB26D6" w:rsidP="00EB26D6">
      <w:pPr>
        <w:rPr>
          <w:i/>
        </w:rPr>
      </w:pPr>
      <w:r w:rsidRPr="009C767B">
        <w:rPr>
          <w:i/>
        </w:rPr>
        <w:t>b) be embedded directly</w:t>
      </w:r>
      <w:r w:rsidR="0045341E" w:rsidRPr="009C767B">
        <w:rPr>
          <w:i/>
        </w:rPr>
        <w:t xml:space="preserve"> as IE</w:t>
      </w:r>
      <w:r w:rsidRPr="009C767B">
        <w:rPr>
          <w:i/>
        </w:rPr>
        <w:t>, i.e., container and/or a message is not necessary for this case</w:t>
      </w:r>
    </w:p>
    <w:p w14:paraId="3F2AA40F" w14:textId="6CF76BD2" w:rsidR="0045341E" w:rsidRDefault="0045341E" w:rsidP="00EB26D6"/>
    <w:p w14:paraId="77745CAB" w14:textId="2CC7AAFA" w:rsidR="00DA6ED2" w:rsidRDefault="00DA6ED2" w:rsidP="00EB26D6">
      <w:r>
        <w:t>We understand that the primary reason for making the NR SCG configuration (SCG CellGroupConfig) a full RRC message was the introduction of the direct SCG SRB</w:t>
      </w:r>
      <w:r w:rsidR="00E37D27">
        <w:t>: F</w:t>
      </w:r>
      <w:r>
        <w:t xml:space="preserve">ull </w:t>
      </w:r>
      <w:r w:rsidR="00E37D27">
        <w:t xml:space="preserve">NR RRC </w:t>
      </w:r>
      <w:r>
        <w:t>message</w:t>
      </w:r>
      <w:r w:rsidR="00E37D27">
        <w:t>s</w:t>
      </w:r>
      <w:r>
        <w:t xml:space="preserve"> with separate transaction IDs </w:t>
      </w:r>
      <w:r w:rsidR="00E37D27">
        <w:t xml:space="preserve">are exchanged between UE and SgNB irrespective whether they go via the direct SRB or embedded in an LTE RRC message. </w:t>
      </w:r>
    </w:p>
    <w:p w14:paraId="3EBCBFC0" w14:textId="39D22A42" w:rsidR="00DA6ED2" w:rsidRDefault="00E37D27" w:rsidP="00EB26D6">
      <w:r>
        <w:lastRenderedPageBreak/>
        <w:t xml:space="preserve">Secondly, several companies wanted to embed the NR RRC message into a transparent container to clarify that the LTE MeNB does not need to comprehend it (due to the desire that a node of one RAT does not need to comprehend the messages of another RAT). </w:t>
      </w:r>
    </w:p>
    <w:p w14:paraId="4EABECA2" w14:textId="0B829861" w:rsidR="00E37D27" w:rsidRDefault="00E37D27" w:rsidP="00EB26D6">
      <w:r>
        <w:t xml:space="preserve">For NR-NR DC none of these two aspects applies, i.e., there is neither a need to introduce abstraction by means of a transparent container nor has a direct SCG SRB been agreed for that case. </w:t>
      </w:r>
    </w:p>
    <w:p w14:paraId="7B48D8FE" w14:textId="3771073D" w:rsidR="009E1100" w:rsidRDefault="00557206" w:rsidP="00557206">
      <w:pPr>
        <w:pStyle w:val="Observation"/>
      </w:pPr>
      <w:bookmarkStart w:id="7" w:name="_Toc490243112"/>
      <w:bookmarkStart w:id="8" w:name="_Toc490255960"/>
      <w:bookmarkStart w:id="9" w:name="_Toc490256464"/>
      <w:r>
        <w:t xml:space="preserve">For NR-NR DC there is </w:t>
      </w:r>
      <w:r w:rsidR="009E1100">
        <w:t xml:space="preserve">no </w:t>
      </w:r>
      <w:r>
        <w:t>need to introduce abstraction by means of a transparent container</w:t>
      </w:r>
      <w:r w:rsidR="009E1100">
        <w:t xml:space="preserve"> since both nodes belong to the same RAT</w:t>
      </w:r>
      <w:bookmarkEnd w:id="8"/>
      <w:bookmarkEnd w:id="9"/>
    </w:p>
    <w:p w14:paraId="0C797097" w14:textId="1CBEE3D0" w:rsidR="00557206" w:rsidRDefault="009E1100" w:rsidP="00557206">
      <w:pPr>
        <w:pStyle w:val="Observation"/>
      </w:pPr>
      <w:bookmarkStart w:id="10" w:name="_Toc490255961"/>
      <w:bookmarkStart w:id="11" w:name="_Toc490256465"/>
      <w:r>
        <w:t xml:space="preserve">For NR-NR DC </w:t>
      </w:r>
      <w:r w:rsidR="00557206">
        <w:t xml:space="preserve">RAN2 </w:t>
      </w:r>
      <w:r>
        <w:t xml:space="preserve">did not introduce </w:t>
      </w:r>
      <w:r w:rsidR="00557206">
        <w:t xml:space="preserve">a direct SCG SRB </w:t>
      </w:r>
      <w:r>
        <w:t xml:space="preserve">and hence there is no need to carry the SCG CellGroupConfig in a </w:t>
      </w:r>
      <w:r w:rsidR="00557206">
        <w:t>full NR RRC message.</w:t>
      </w:r>
      <w:bookmarkEnd w:id="7"/>
      <w:bookmarkEnd w:id="10"/>
      <w:bookmarkEnd w:id="11"/>
      <w:r w:rsidR="00557206">
        <w:t xml:space="preserve"> </w:t>
      </w:r>
    </w:p>
    <w:p w14:paraId="2C1C7551" w14:textId="4BB948C9" w:rsidR="00557206" w:rsidRPr="00557206" w:rsidRDefault="00557206" w:rsidP="00557206">
      <w:pPr>
        <w:pStyle w:val="Proposal"/>
      </w:pPr>
      <w:bookmarkStart w:id="12" w:name="_Toc490243115"/>
      <w:bookmarkStart w:id="13" w:name="_Toc490255964"/>
      <w:bookmarkStart w:id="14" w:name="_Toc490256467"/>
      <w:r w:rsidRPr="00557206">
        <w:t xml:space="preserve">For NR-NR DC the SCG configuration should be embedded directly as IE, i.e., container and/or a message is </w:t>
      </w:r>
      <w:r w:rsidRPr="00A45934">
        <w:rPr>
          <w:u w:val="single"/>
        </w:rPr>
        <w:t>not</w:t>
      </w:r>
      <w:r w:rsidRPr="00557206">
        <w:t xml:space="preserve"> necessary for this case.</w:t>
      </w:r>
      <w:bookmarkEnd w:id="12"/>
      <w:bookmarkEnd w:id="13"/>
      <w:bookmarkEnd w:id="14"/>
    </w:p>
    <w:p w14:paraId="7D925874" w14:textId="572F6125" w:rsidR="00372545" w:rsidRDefault="00372545" w:rsidP="00372545">
      <w:pPr>
        <w:pStyle w:val="Heading2"/>
      </w:pPr>
      <w:r>
        <w:t>Containers for NE-DC</w:t>
      </w:r>
    </w:p>
    <w:p w14:paraId="3C9C0C3F" w14:textId="77777777" w:rsidR="00372545" w:rsidRDefault="00EB26D6" w:rsidP="00372545">
      <w:r>
        <w:t>For NE-DC</w:t>
      </w:r>
      <w:r w:rsidR="00372545">
        <w:t xml:space="preserve"> the email discussion did not conclude </w:t>
      </w:r>
      <w:r>
        <w:t xml:space="preserve">whether … </w:t>
      </w:r>
    </w:p>
    <w:p w14:paraId="7FA05E8C" w14:textId="77777777" w:rsidR="00372545" w:rsidRPr="00372545" w:rsidRDefault="00EB26D6" w:rsidP="00372545">
      <w:pPr>
        <w:rPr>
          <w:i/>
        </w:rPr>
      </w:pPr>
      <w:r w:rsidRPr="00372545">
        <w:rPr>
          <w:i/>
        </w:rPr>
        <w:t xml:space="preserve">a) The LTE SCG configuration should be conveyed as LTE RRCConnectionReconfiguration message inside a container in the NR RRCConnectionReconfiguration, or </w:t>
      </w:r>
    </w:p>
    <w:p w14:paraId="5AEBDFA7" w14:textId="0B0E44A8" w:rsidR="00EB26D6" w:rsidRDefault="00EB26D6" w:rsidP="00372545">
      <w:r w:rsidRPr="00372545">
        <w:rPr>
          <w:i/>
        </w:rPr>
        <w:t>b) The LTE SCG configuration should be conveyed as an IE inside the NR RRCConnectionReconfiguration</w:t>
      </w:r>
      <w:r w:rsidR="00372545" w:rsidRPr="00372545">
        <w:rPr>
          <w:i/>
        </w:rPr>
        <w:t>.</w:t>
      </w:r>
    </w:p>
    <w:p w14:paraId="3D6C8E10" w14:textId="27E03F2C" w:rsidR="00372545" w:rsidRDefault="00372545" w:rsidP="00372545">
      <w:r>
        <w:t xml:space="preserve">Since there have been so far no proposals to introduce a </w:t>
      </w:r>
      <w:r w:rsidRPr="00372545">
        <w:t xml:space="preserve">direct SCG-SRB for the LTE SeNB, we don’t see a strong need for conveying </w:t>
      </w:r>
      <w:r>
        <w:t xml:space="preserve">the LTE SCG configuration as a </w:t>
      </w:r>
      <w:r w:rsidRPr="00372545">
        <w:t xml:space="preserve">full messages. </w:t>
      </w:r>
      <w:r>
        <w:t xml:space="preserve">If RAN2 concludes that RRM and capability handling for EN-DC and NE-DC works without comprehending “the other RAT’s” configuration, it may still make sense to </w:t>
      </w:r>
      <w:r w:rsidR="00306AD1">
        <w:t xml:space="preserve">use a transparent container for the LTE SCG configuration. </w:t>
      </w:r>
    </w:p>
    <w:p w14:paraId="7B94B000" w14:textId="79064DC5" w:rsidR="00EB26D6" w:rsidRPr="00CE0424" w:rsidRDefault="00306AD1" w:rsidP="00085C9E">
      <w:pPr>
        <w:pStyle w:val="Proposal"/>
      </w:pPr>
      <w:bookmarkStart w:id="15" w:name="_Toc490243116"/>
      <w:bookmarkStart w:id="16" w:name="_Toc490255965"/>
      <w:bookmarkStart w:id="17" w:name="_Toc490256468"/>
      <w:r>
        <w:t xml:space="preserve">For NE-DC the </w:t>
      </w:r>
      <w:r w:rsidRPr="00306AD1">
        <w:t xml:space="preserve">LTE SCG-Configuration-r12 </w:t>
      </w:r>
      <w:r>
        <w:t xml:space="preserve">IE (not a message) is carried inside the NR RRCConnectionReconfiguration. </w:t>
      </w:r>
      <w:r w:rsidR="005F0EF2">
        <w:t>As baseline, the IE may be carried inside a transparent container.</w:t>
      </w:r>
      <w:bookmarkEnd w:id="15"/>
      <w:bookmarkEnd w:id="16"/>
      <w:bookmarkEnd w:id="17"/>
      <w:r w:rsidR="005F0EF2">
        <w:t xml:space="preserve"> </w:t>
      </w:r>
    </w:p>
    <w:p w14:paraId="1230F38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ED024D4" w14:textId="77777777" w:rsidR="004556A7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4556A7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62219E06" w14:textId="77777777" w:rsidR="004556A7" w:rsidRPr="004556A7" w:rsidRDefault="004556A7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de-DE"/>
        </w:rPr>
      </w:pPr>
      <w:r>
        <w:t>Observation 1</w:t>
      </w:r>
      <w:r w:rsidRPr="004556A7">
        <w:rPr>
          <w:rFonts w:asciiTheme="minorHAnsi" w:eastAsiaTheme="minorEastAsia" w:hAnsiTheme="minorHAnsi" w:cstheme="minorBidi"/>
          <w:b w:val="0"/>
          <w:sz w:val="22"/>
          <w:lang w:val="en-GB" w:eastAsia="de-DE"/>
        </w:rPr>
        <w:tab/>
      </w:r>
      <w:r>
        <w:t xml:space="preserve">PDCP/SDAP-Config IEs of DRBs terminating in the same node are associated with the same security key (see </w:t>
      </w:r>
      <w:r w:rsidRPr="006A5258">
        <w:rPr>
          <w:color w:val="0000FF"/>
          <w:u w:val="single"/>
        </w:rPr>
        <w:t>S3-172080</w:t>
      </w:r>
      <w:r>
        <w:t>).</w:t>
      </w:r>
    </w:p>
    <w:p w14:paraId="3EB8312F" w14:textId="77777777" w:rsidR="004556A7" w:rsidRPr="004556A7" w:rsidRDefault="004556A7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de-DE"/>
        </w:rPr>
      </w:pPr>
      <w:r>
        <w:t>Observation 2</w:t>
      </w:r>
      <w:r w:rsidRPr="004556A7">
        <w:rPr>
          <w:rFonts w:asciiTheme="minorHAnsi" w:eastAsiaTheme="minorEastAsia" w:hAnsiTheme="minorHAnsi" w:cstheme="minorBidi"/>
          <w:b w:val="0"/>
          <w:sz w:val="22"/>
          <w:lang w:val="en-GB" w:eastAsia="de-DE"/>
        </w:rPr>
        <w:tab/>
      </w:r>
      <w:r>
        <w:t>For NR-NR DC there is no need to introduce abstraction by means of a transparent container since both nodes belong to the same RAT</w:t>
      </w:r>
    </w:p>
    <w:p w14:paraId="3B43AC38" w14:textId="77777777" w:rsidR="004556A7" w:rsidRPr="004556A7" w:rsidRDefault="004556A7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de-DE"/>
        </w:rPr>
      </w:pPr>
      <w:r>
        <w:t>Observation 3</w:t>
      </w:r>
      <w:r w:rsidRPr="004556A7">
        <w:rPr>
          <w:rFonts w:asciiTheme="minorHAnsi" w:eastAsiaTheme="minorEastAsia" w:hAnsiTheme="minorHAnsi" w:cstheme="minorBidi"/>
          <w:b w:val="0"/>
          <w:sz w:val="22"/>
          <w:lang w:val="en-GB" w:eastAsia="de-DE"/>
        </w:rPr>
        <w:tab/>
      </w:r>
      <w:r>
        <w:t>For NR-NR DC RAN2 did not introduce a direct SCG SRB and hence there is no need to carry the SCG CellGroupConfig in a full NR RRC message.</w:t>
      </w:r>
    </w:p>
    <w:p w14:paraId="439687B6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30C8853" w14:textId="77777777" w:rsidR="004556A7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4556A7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02D6A1BC" w14:textId="77777777" w:rsidR="004556A7" w:rsidRPr="004556A7" w:rsidRDefault="004556A7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de-DE"/>
        </w:rPr>
      </w:pPr>
      <w:r>
        <w:t>Proposal 1</w:t>
      </w:r>
      <w:r w:rsidRPr="004556A7">
        <w:rPr>
          <w:rFonts w:asciiTheme="minorHAnsi" w:eastAsiaTheme="minorEastAsia" w:hAnsiTheme="minorHAnsi" w:cstheme="minorBidi"/>
          <w:b w:val="0"/>
          <w:sz w:val="22"/>
          <w:lang w:val="en-GB" w:eastAsia="de-DE"/>
        </w:rPr>
        <w:tab/>
      </w:r>
      <w:r>
        <w:t>The PDCP-Config and SDAP-Config of all DRBs terminating in the same node are in a common container.</w:t>
      </w:r>
    </w:p>
    <w:p w14:paraId="7F076B01" w14:textId="77777777" w:rsidR="004556A7" w:rsidRPr="004556A7" w:rsidRDefault="004556A7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de-DE"/>
        </w:rPr>
      </w:pPr>
      <w:r>
        <w:t>Proposal 2</w:t>
      </w:r>
      <w:r w:rsidRPr="004556A7">
        <w:rPr>
          <w:rFonts w:asciiTheme="minorHAnsi" w:eastAsiaTheme="minorEastAsia" w:hAnsiTheme="minorHAnsi" w:cstheme="minorBidi"/>
          <w:b w:val="0"/>
          <w:sz w:val="22"/>
          <w:lang w:val="en-GB" w:eastAsia="de-DE"/>
        </w:rPr>
        <w:tab/>
      </w:r>
      <w:r>
        <w:t xml:space="preserve">For NR-NR DC the SCG configuration should be embedded directly as IE, i.e., container and/or a message is </w:t>
      </w:r>
      <w:r w:rsidRPr="005F5265">
        <w:rPr>
          <w:u w:val="single"/>
        </w:rPr>
        <w:t>not</w:t>
      </w:r>
      <w:r>
        <w:t xml:space="preserve"> necessary for this case.</w:t>
      </w:r>
    </w:p>
    <w:p w14:paraId="5AA11108" w14:textId="77777777" w:rsidR="004556A7" w:rsidRPr="004556A7" w:rsidRDefault="004556A7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de-DE"/>
        </w:rPr>
      </w:pPr>
      <w:r>
        <w:t>Proposal 3</w:t>
      </w:r>
      <w:r w:rsidRPr="004556A7">
        <w:rPr>
          <w:rFonts w:asciiTheme="minorHAnsi" w:eastAsiaTheme="minorEastAsia" w:hAnsiTheme="minorHAnsi" w:cstheme="minorBidi"/>
          <w:b w:val="0"/>
          <w:sz w:val="22"/>
          <w:lang w:val="en-GB" w:eastAsia="de-DE"/>
        </w:rPr>
        <w:tab/>
      </w:r>
      <w:r>
        <w:t>For NE-DC the LTE SCG-Configuration-r12 IE (not a message) is carried inside the NR RRCConnectionReconfiguration. As baseline, the IE may be carried inside a transparent container.</w:t>
      </w:r>
    </w:p>
    <w:p w14:paraId="63F465E9" w14:textId="77777777" w:rsidR="008E065E" w:rsidRPr="00CE0424" w:rsidRDefault="008E065E" w:rsidP="008E065E">
      <w:pPr>
        <w:rPr>
          <w:b/>
          <w:bCs/>
        </w:rPr>
      </w:pPr>
      <w:r>
        <w:rPr>
          <w:b/>
          <w:bCs/>
        </w:rPr>
        <w:fldChar w:fldCharType="end"/>
      </w:r>
    </w:p>
    <w:p w14:paraId="2BDA79A9" w14:textId="77777777" w:rsidR="00C01F33" w:rsidRPr="00CE0424" w:rsidRDefault="00C01F33" w:rsidP="006E062C"/>
    <w:p w14:paraId="777A0CBA" w14:textId="77777777" w:rsidR="00F507D1" w:rsidRPr="00CE0424" w:rsidRDefault="00F507D1" w:rsidP="00CE0424">
      <w:pPr>
        <w:pStyle w:val="Heading1"/>
      </w:pPr>
      <w:bookmarkStart w:id="18" w:name="_In-sequence_SDU_delivery"/>
      <w:bookmarkEnd w:id="18"/>
      <w:r w:rsidRPr="00CE0424">
        <w:lastRenderedPageBreak/>
        <w:t>References</w:t>
      </w:r>
    </w:p>
    <w:p w14:paraId="6B37BC72" w14:textId="5491F63A" w:rsidR="003A7EF3" w:rsidRPr="00CE0424" w:rsidRDefault="00020E1A" w:rsidP="00020E1A">
      <w:pPr>
        <w:pStyle w:val="Reference"/>
      </w:pPr>
      <w:bookmarkStart w:id="19" w:name="_Ref174151459"/>
      <w:bookmarkStart w:id="20" w:name="_Ref189809556"/>
      <w:r w:rsidRPr="00020E1A">
        <w:t>R2-1708036</w:t>
      </w:r>
      <w:r>
        <w:t>, “</w:t>
      </w:r>
      <w:r w:rsidRPr="00020E1A">
        <w:t>[NR-AH2#12][NR] RRCConnectionReconfiguration structure - Email discussion summary</w:t>
      </w:r>
      <w:r>
        <w:t xml:space="preserve">”, Ericsson, </w:t>
      </w:r>
      <w:bookmarkEnd w:id="19"/>
      <w:bookmarkEnd w:id="20"/>
      <w:r w:rsidRPr="00020E1A">
        <w:t>3GPP TSG-RAN WG2 #99</w:t>
      </w:r>
      <w:r>
        <w:t xml:space="preserve">; </w:t>
      </w:r>
      <w:r w:rsidRPr="00020E1A">
        <w:t>Berlin, Germany, 21st – 25th August 2017</w:t>
      </w:r>
    </w:p>
    <w:sectPr w:rsidR="003A7EF3" w:rsidRPr="00CE042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AD78C2" w14:textId="77777777" w:rsidR="00EB26D6" w:rsidRDefault="00EB26D6">
      <w:r>
        <w:separator/>
      </w:r>
    </w:p>
  </w:endnote>
  <w:endnote w:type="continuationSeparator" w:id="0">
    <w:p w14:paraId="034FA9D2" w14:textId="77777777" w:rsidR="00EB26D6" w:rsidRDefault="00EB2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SimSun"/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DengXian Light">
    <w:altName w:val="SimSun"/>
    <w:charset w:val="86"/>
    <w:family w:val="script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4992A" w14:textId="545C3E32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3277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3277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6A5B16" w14:textId="77777777" w:rsidR="00EB26D6" w:rsidRDefault="00EB26D6">
      <w:r>
        <w:separator/>
      </w:r>
    </w:p>
  </w:footnote>
  <w:footnote w:type="continuationSeparator" w:id="0">
    <w:p w14:paraId="18D3AE8F" w14:textId="77777777" w:rsidR="00EB26D6" w:rsidRDefault="00EB2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FB5C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2"/>
  </w:num>
  <w:num w:numId="14">
    <w:abstractNumId w:val="0"/>
  </w:num>
  <w:num w:numId="15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6D6"/>
    <w:rsid w:val="000006E1"/>
    <w:rsid w:val="00002A37"/>
    <w:rsid w:val="000039F4"/>
    <w:rsid w:val="00006446"/>
    <w:rsid w:val="00006896"/>
    <w:rsid w:val="00007CDC"/>
    <w:rsid w:val="00011B28"/>
    <w:rsid w:val="00015D15"/>
    <w:rsid w:val="00020E1A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3F82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3DC9"/>
    <w:rsid w:val="000A56F2"/>
    <w:rsid w:val="000B04D4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70CD"/>
    <w:rsid w:val="000E0527"/>
    <w:rsid w:val="000E1E92"/>
    <w:rsid w:val="000F06D6"/>
    <w:rsid w:val="000F0EB1"/>
    <w:rsid w:val="000F1106"/>
    <w:rsid w:val="000F3BE9"/>
    <w:rsid w:val="000F3F6C"/>
    <w:rsid w:val="000F698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07E2"/>
    <w:rsid w:val="00132FD0"/>
    <w:rsid w:val="001344C0"/>
    <w:rsid w:val="001346FA"/>
    <w:rsid w:val="00135252"/>
    <w:rsid w:val="00137AB5"/>
    <w:rsid w:val="00137F0B"/>
    <w:rsid w:val="00140025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059E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24A1"/>
    <w:rsid w:val="00203F96"/>
    <w:rsid w:val="002069B2"/>
    <w:rsid w:val="00206E47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6AD1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9D7"/>
    <w:rsid w:val="00370E47"/>
    <w:rsid w:val="00372545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341E"/>
    <w:rsid w:val="004556A7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97C0F"/>
    <w:rsid w:val="004A16BC"/>
    <w:rsid w:val="004A1798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4CD5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3984"/>
    <w:rsid w:val="00534B59"/>
    <w:rsid w:val="00536759"/>
    <w:rsid w:val="00537C62"/>
    <w:rsid w:val="00546970"/>
    <w:rsid w:val="00554E19"/>
    <w:rsid w:val="00557206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D3746"/>
    <w:rsid w:val="005D6A4C"/>
    <w:rsid w:val="005E0F70"/>
    <w:rsid w:val="005E385F"/>
    <w:rsid w:val="005E5B81"/>
    <w:rsid w:val="005F0EF2"/>
    <w:rsid w:val="005F2CB1"/>
    <w:rsid w:val="005F3025"/>
    <w:rsid w:val="005F618C"/>
    <w:rsid w:val="005F70BD"/>
    <w:rsid w:val="0060283C"/>
    <w:rsid w:val="00604F14"/>
    <w:rsid w:val="006076C1"/>
    <w:rsid w:val="006101D6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76B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42A6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997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2405"/>
    <w:rsid w:val="00803FAE"/>
    <w:rsid w:val="0080605F"/>
    <w:rsid w:val="00807786"/>
    <w:rsid w:val="00811FCB"/>
    <w:rsid w:val="008158D6"/>
    <w:rsid w:val="00817196"/>
    <w:rsid w:val="008233F9"/>
    <w:rsid w:val="008235DB"/>
    <w:rsid w:val="00824AB4"/>
    <w:rsid w:val="00825C42"/>
    <w:rsid w:val="00825D25"/>
    <w:rsid w:val="00826C9D"/>
    <w:rsid w:val="00827D6F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1B5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C767B"/>
    <w:rsid w:val="009D4FF0"/>
    <w:rsid w:val="009D703C"/>
    <w:rsid w:val="009D718F"/>
    <w:rsid w:val="009E068F"/>
    <w:rsid w:val="009E1100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277A"/>
    <w:rsid w:val="00A3448A"/>
    <w:rsid w:val="00A36297"/>
    <w:rsid w:val="00A41E2B"/>
    <w:rsid w:val="00A45934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0D00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5F1B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F73"/>
    <w:rsid w:val="00B91BB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5662C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136B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0575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7BCA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A6ED2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37D27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26D6"/>
    <w:rsid w:val="00EB4EA2"/>
    <w:rsid w:val="00EC27C6"/>
    <w:rsid w:val="00EC4207"/>
    <w:rsid w:val="00EC5653"/>
    <w:rsid w:val="00EC71CE"/>
    <w:rsid w:val="00ED1006"/>
    <w:rsid w:val="00EE10CE"/>
    <w:rsid w:val="00EF18FE"/>
    <w:rsid w:val="00EF492D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55BC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18A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A8DD27"/>
  <w15:docId w15:val="{4F179FA9-2377-41A2-BE1B-2AC2B96F8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6F5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66F5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66F5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66F5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7F2405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7F2405"/>
    <w:rPr>
      <w:rFonts w:ascii="Arial" w:eastAsia="MS Mincho" w:hAnsi="Arial"/>
      <w:noProof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D6A4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ftp://3gpp.org/tsg_sa/WG3_Security/TSGS3_88_Dali/Docs/S3-172080.zip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ftp://3gpp.org/tsg_sa/WG3_Security/TSGS3_88_Dali/Docs/S3-17208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oll.internal.ericsson.com/sites/STAR/Documents/3GPP/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5NUHHDQN7SK2-1-179780</_dlc_DocId>
    <_dlc_DocIdUrl xmlns="08b2df90-05d3-4030-90d4-c9feeb4a1cd9">
      <Url>https://ericoll.internal.ericsson.com/sites/star/_layouts/DocIdRedir.aspx?ID=5NUHHDQN7SK2-1-179780</Url>
      <Description>5NUHHDQN7SK2-1-179780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/>
</file>

<file path=customXml/itemProps2.xml><?xml version="1.0" encoding="utf-8"?>
<ds:datastoreItem xmlns:ds="http://schemas.openxmlformats.org/officeDocument/2006/customXml" ds:itemID="{BEE23EE5-5864-4ADF-A848-295F30FA12F3}"/>
</file>

<file path=customXml/itemProps3.xml><?xml version="1.0" encoding="utf-8"?>
<ds:datastoreItem xmlns:ds="http://schemas.openxmlformats.org/officeDocument/2006/customXml" ds:itemID="{9B36E9F0-9DBD-40EA-AED0-3F87E0FBAA56}"/>
</file>

<file path=customXml/itemProps4.xml><?xml version="1.0" encoding="utf-8"?>
<ds:datastoreItem xmlns:ds="http://schemas.openxmlformats.org/officeDocument/2006/customXml" ds:itemID="{55E0644C-6BEA-4A28-8785-968290B61A99}"/>
</file>

<file path=customXml/itemProps5.xml><?xml version="1.0" encoding="utf-8"?>
<ds:datastoreItem xmlns:ds="http://schemas.openxmlformats.org/officeDocument/2006/customXml" ds:itemID="{F95D044E-DEF4-44A0-9715-94CD62B64AD4}"/>
</file>

<file path=customXml/itemProps6.xml><?xml version="1.0" encoding="utf-8"?>
<ds:datastoreItem xmlns:ds="http://schemas.openxmlformats.org/officeDocument/2006/customXml" ds:itemID="{A6ADDEA9-6B92-4E8E-BF1A-BE0E057DD172}"/>
</file>

<file path=customXml/itemProps7.xml><?xml version="1.0" encoding="utf-8"?>
<ds:datastoreItem xmlns:ds="http://schemas.openxmlformats.org/officeDocument/2006/customXml" ds:itemID="{8E6702AD-C2CD-432B-89D8-671B87BBAEBF}"/>
</file>

<file path=docProps/app.xml><?xml version="1.0" encoding="utf-8"?>
<Properties xmlns="http://schemas.openxmlformats.org/officeDocument/2006/extended-properties" xmlns:vt="http://schemas.openxmlformats.org/officeDocument/2006/docPropsVTypes">
  <Template>R2-17xxxxx%20-%20Contribution%20Template.dotx</Template>
  <TotalTime>0</TotalTime>
  <Pages>3</Pages>
  <Words>756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eedhwm</dc:creator>
  <cp:keywords>Ericsson; TDoc; 3GPP</cp:keywords>
  <cp:lastModifiedBy>eedhwm</cp:lastModifiedBy>
  <cp:revision>39</cp:revision>
  <cp:lastPrinted>2008-01-31T16:09:00Z</cp:lastPrinted>
  <dcterms:created xsi:type="dcterms:W3CDTF">2017-08-11T16:03:00Z</dcterms:created>
  <dcterms:modified xsi:type="dcterms:W3CDTF">2017-08-11T21:21:00Z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34fb8d98-4f77-490b-8968-6b7287d86add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